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95770"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</w:p>
    <w:p w14:paraId="43F6689E"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</w:p>
    <w:p w14:paraId="0A1E4CD4"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合肥高科科技股份有限公司</w:t>
      </w:r>
    </w:p>
    <w:p w14:paraId="2C2A6BC4">
      <w:pPr>
        <w:jc w:val="both"/>
        <w:rPr>
          <w:rFonts w:hint="eastAsia" w:asciiTheme="minorEastAsia" w:hAnsiTheme="minorEastAsia" w:eastAsiaTheme="minorEastAsia"/>
          <w:b w:val="0"/>
          <w:bCs/>
          <w:sz w:val="40"/>
          <w:szCs w:val="40"/>
          <w:lang w:val="en-US" w:eastAsia="zh-CN"/>
        </w:rPr>
      </w:pPr>
    </w:p>
    <w:p w14:paraId="62867A05">
      <w:pPr>
        <w:keepNext w:val="0"/>
        <w:keepLines w:val="0"/>
        <w:widowControl/>
        <w:suppressLineNumbers w:val="0"/>
        <w:ind w:firstLine="2460" w:firstLineChars="500"/>
        <w:jc w:val="left"/>
        <w:rPr>
          <w:rFonts w:hint="default"/>
          <w:lang w:val="en-US"/>
        </w:rPr>
      </w:pPr>
      <w:r>
        <w:rPr>
          <w:rFonts w:ascii="黑体" w:hAnsi="宋体" w:eastAsia="黑体" w:cs="黑体"/>
          <w:b/>
          <w:bCs/>
          <w:color w:val="000000"/>
          <w:kern w:val="0"/>
          <w:sz w:val="49"/>
          <w:szCs w:val="49"/>
          <w:lang w:val="en-US" w:eastAsia="zh-CN" w:bidi="ar"/>
        </w:rPr>
        <w:t>废气治理系统</w:t>
      </w:r>
      <w:r>
        <w:rPr>
          <w:rFonts w:hint="eastAsia" w:ascii="黑体" w:hAnsi="宋体" w:eastAsia="黑体" w:cs="黑体"/>
          <w:b/>
          <w:bCs/>
          <w:color w:val="000000"/>
          <w:kern w:val="0"/>
          <w:sz w:val="49"/>
          <w:szCs w:val="49"/>
          <w:lang w:val="en-US" w:eastAsia="zh-CN" w:bidi="ar"/>
        </w:rPr>
        <w:t>招标文件</w:t>
      </w:r>
    </w:p>
    <w:p w14:paraId="585719CE">
      <w:pPr>
        <w:ind w:firstLine="2833" w:firstLineChars="392"/>
        <w:rPr>
          <w:rFonts w:asciiTheme="minorEastAsia" w:hAnsiTheme="minorEastAsia" w:eastAsiaTheme="minorEastAsia"/>
          <w:b/>
          <w:sz w:val="72"/>
          <w:szCs w:val="72"/>
        </w:rPr>
      </w:pPr>
    </w:p>
    <w:p w14:paraId="2B38F9A0">
      <w:pPr>
        <w:spacing w:beforeLines="100" w:afterLines="50" w:line="800" w:lineRule="exact"/>
        <w:rPr>
          <w:rFonts w:asciiTheme="minorEastAsia" w:hAnsiTheme="minorEastAsia" w:eastAsiaTheme="minorEastAsia"/>
          <w:b/>
          <w:sz w:val="32"/>
          <w:szCs w:val="32"/>
        </w:rPr>
      </w:pPr>
    </w:p>
    <w:p w14:paraId="386C677E">
      <w:pPr>
        <w:spacing w:line="600" w:lineRule="exact"/>
        <w:rPr>
          <w:rFonts w:asciiTheme="minorEastAsia" w:hAnsiTheme="minorEastAsia" w:eastAsiaTheme="minorEastAsia"/>
          <w:sz w:val="32"/>
          <w:szCs w:val="32"/>
        </w:rPr>
      </w:pPr>
    </w:p>
    <w:p w14:paraId="2EBF1BAE">
      <w:pPr>
        <w:spacing w:line="600" w:lineRule="exact"/>
        <w:rPr>
          <w:rFonts w:asciiTheme="minorEastAsia" w:hAnsiTheme="minorEastAsia" w:eastAsiaTheme="minorEastAsia"/>
          <w:sz w:val="32"/>
          <w:szCs w:val="32"/>
        </w:rPr>
      </w:pPr>
    </w:p>
    <w:p w14:paraId="47CCC1E7">
      <w:pPr>
        <w:spacing w:line="600" w:lineRule="exact"/>
        <w:rPr>
          <w:rFonts w:asciiTheme="minorEastAsia" w:hAnsiTheme="minorEastAsia" w:eastAsiaTheme="minorEastAsia"/>
          <w:sz w:val="32"/>
          <w:szCs w:val="32"/>
        </w:rPr>
      </w:pPr>
    </w:p>
    <w:p w14:paraId="7A2919A5">
      <w:pPr>
        <w:spacing w:line="600" w:lineRule="exact"/>
        <w:rPr>
          <w:rFonts w:asciiTheme="minorEastAsia" w:hAnsiTheme="minorEastAsia" w:eastAsiaTheme="minorEastAsia"/>
          <w:sz w:val="32"/>
          <w:szCs w:val="32"/>
        </w:rPr>
      </w:pPr>
    </w:p>
    <w:p w14:paraId="02DDA6A0">
      <w:pPr>
        <w:spacing w:line="600" w:lineRule="exact"/>
        <w:rPr>
          <w:rFonts w:asciiTheme="minorEastAsia" w:hAnsiTheme="minorEastAsia" w:eastAsiaTheme="minorEastAsia"/>
          <w:sz w:val="32"/>
          <w:szCs w:val="32"/>
        </w:rPr>
      </w:pPr>
    </w:p>
    <w:p w14:paraId="35D79264">
      <w:pPr>
        <w:spacing w:line="600" w:lineRule="exact"/>
        <w:jc w:val="center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招标人：合肥高科科技股份有限公司</w:t>
      </w:r>
    </w:p>
    <w:p w14:paraId="36C97420">
      <w:pPr>
        <w:spacing w:line="600" w:lineRule="exact"/>
        <w:jc w:val="center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二零二</w:t>
      </w:r>
      <w:r>
        <w:rPr>
          <w:rFonts w:hint="eastAsia" w:asciiTheme="minorEastAsia" w:hAnsiTheme="minorEastAsia" w:eastAsiaTheme="minorEastAsia"/>
          <w:b/>
          <w:sz w:val="32"/>
          <w:szCs w:val="32"/>
          <w:lang w:val="en-US" w:eastAsia="zh-CN"/>
        </w:rPr>
        <w:t>四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年</w:t>
      </w:r>
      <w:r>
        <w:rPr>
          <w:rFonts w:hint="eastAsia" w:asciiTheme="minorEastAsia" w:hAnsiTheme="minorEastAsia" w:eastAsiaTheme="minorEastAsia"/>
          <w:b/>
          <w:sz w:val="32"/>
          <w:szCs w:val="32"/>
          <w:lang w:val="en-US" w:eastAsia="zh-CN"/>
        </w:rPr>
        <w:t>九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月</w:t>
      </w:r>
    </w:p>
    <w:p w14:paraId="5D5B7C8F"/>
    <w:p w14:paraId="41207316"/>
    <w:p w14:paraId="5984094A"/>
    <w:p w14:paraId="317C7884"/>
    <w:p w14:paraId="5087F66A"/>
    <w:p w14:paraId="37B475CB"/>
    <w:p w14:paraId="270CF544"/>
    <w:p w14:paraId="486D61D5"/>
    <w:p w14:paraId="709E5B09"/>
    <w:p w14:paraId="2488B257"/>
    <w:p w14:paraId="18371389"/>
    <w:p w14:paraId="5CD8DB7C"/>
    <w:p w14:paraId="185DD5CE"/>
    <w:p w14:paraId="61F14CFB"/>
    <w:p w14:paraId="3598AAF0">
      <w:pPr>
        <w:widowControl/>
        <w:jc w:val="center"/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第一章：招标邀请及项目说明</w:t>
      </w:r>
    </w:p>
    <w:p w14:paraId="0AE129E7">
      <w:pPr>
        <w:widowControl/>
        <w:jc w:val="left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  <w:u w:val="single"/>
        </w:rPr>
        <w:t>尊敬的供应商伙伴</w:t>
      </w:r>
      <w:r>
        <w:rPr>
          <w:rFonts w:hint="eastAsia" w:asciiTheme="minorEastAsia" w:hAnsiTheme="minorEastAsia" w:eastAsiaTheme="minorEastAsia"/>
          <w:b/>
          <w:szCs w:val="21"/>
          <w:u w:val="single"/>
        </w:rPr>
        <w:t>：</w:t>
      </w:r>
    </w:p>
    <w:p w14:paraId="468132C1">
      <w:pPr>
        <w:spacing w:line="500" w:lineRule="exact"/>
        <w:ind w:firstLine="411" w:firstLineChars="196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您好！</w:t>
      </w:r>
    </w:p>
    <w:p w14:paraId="349D72B8">
      <w:pPr>
        <w:spacing w:line="500" w:lineRule="exact"/>
        <w:ind w:firstLine="411" w:firstLineChars="196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我公司拟对合肥高科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>铭传路工厂等离子设备改造升级</w:t>
      </w:r>
      <w:r>
        <w:rPr>
          <w:rFonts w:hint="eastAsia" w:asciiTheme="minorEastAsia" w:hAnsiTheme="minorEastAsia" w:eastAsiaTheme="minorEastAsia"/>
          <w:szCs w:val="21"/>
        </w:rPr>
        <w:t>进行招标，特邀请贵单位参加投标。现就本次招标有关事项通知如下：</w:t>
      </w:r>
    </w:p>
    <w:p w14:paraId="60776299">
      <w:pPr>
        <w:numPr>
          <w:ilvl w:val="0"/>
          <w:numId w:val="1"/>
        </w:numPr>
        <w:spacing w:line="360" w:lineRule="auto"/>
        <w:rPr>
          <w:rFonts w:cs="宋体" w:asciiTheme="minorEastAsia" w:hAnsiTheme="minorEastAsia" w:eastAsiaTheme="minorEastAsia"/>
          <w:szCs w:val="21"/>
        </w:rPr>
      </w:pP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目前处理工艺</w:t>
      </w:r>
    </w:p>
    <w:p w14:paraId="572CA1ED">
      <w:pPr>
        <w:spacing w:line="500" w:lineRule="exact"/>
        <w:rPr>
          <w:rFonts w:hint="eastAsia" w:cs="宋体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szCs w:val="21"/>
          <w:lang w:val="en-US" w:eastAsia="zh-CN"/>
        </w:rPr>
        <w:t>目前废气处理工艺为低温等离子+活性炭吸附，治理风量为 2 套 30000m³/h，1 套 50000m³/h，合计 110000m³/h。</w:t>
      </w:r>
    </w:p>
    <w:p w14:paraId="3C6BDD3A">
      <w:pPr>
        <w:spacing w:line="360" w:lineRule="auto"/>
        <w:rPr>
          <w:rFonts w:hint="default" w:cs="宋体" w:asciiTheme="minorEastAsia" w:hAnsiTheme="minorEastAsia" w:eastAsiaTheme="minorEastAsia"/>
          <w:szCs w:val="21"/>
          <w:lang w:val="en-US" w:eastAsia="zh-CN"/>
        </w:rPr>
      </w:pP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二、项目要求</w:t>
      </w:r>
    </w:p>
    <w:p w14:paraId="1D9AAFC6">
      <w:pPr>
        <w:spacing w:line="360" w:lineRule="auto"/>
        <w:rPr>
          <w:rFonts w:hint="default" w:cs="宋体" w:asciiTheme="minorEastAsia" w:hAnsiTheme="minorEastAsia" w:eastAsiaTheme="minorEastAsia"/>
          <w:szCs w:val="21"/>
          <w:lang w:val="en-US" w:eastAsia="zh-CN"/>
        </w:rPr>
      </w:pP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2.1采用活性炭吸附脱附催化燃烧工艺</w:t>
      </w:r>
    </w:p>
    <w:p w14:paraId="4D766B3C">
      <w:pPr>
        <w:spacing w:line="360" w:lineRule="auto"/>
        <w:rPr>
          <w:rFonts w:hint="eastAsia" w:cs="宋体" w:asciiTheme="minorEastAsia" w:hAnsiTheme="minorEastAsia" w:eastAsiaTheme="minorEastAsia"/>
          <w:szCs w:val="21"/>
          <w:lang w:val="en-US" w:eastAsia="zh-CN"/>
        </w:rPr>
      </w:pP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 xml:space="preserve">2.2 环保设备设计目标要求 </w:t>
      </w:r>
    </w:p>
    <w:p w14:paraId="5C01E1A1">
      <w:pPr>
        <w:spacing w:line="360" w:lineRule="auto"/>
        <w:ind w:firstLine="420" w:firstLineChars="200"/>
        <w:rPr>
          <w:rFonts w:hint="eastAsia" w:cs="宋体" w:asciiTheme="minorEastAsia" w:hAnsiTheme="minorEastAsia" w:eastAsiaTheme="minorEastAsia"/>
          <w:szCs w:val="21"/>
          <w:lang w:val="en-US" w:eastAsia="zh-CN"/>
        </w:rPr>
      </w:pP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 xml:space="preserve">严格遵守国家环境保护的政策和安徽省、合肥市相关的法律法规、规范和标准。 </w:t>
      </w:r>
    </w:p>
    <w:p w14:paraId="148ADD9F">
      <w:pPr>
        <w:spacing w:line="360" w:lineRule="auto"/>
        <w:ind w:firstLine="420" w:firstLineChars="200"/>
        <w:rPr>
          <w:rFonts w:hint="eastAsia" w:cs="宋体" w:asciiTheme="minorEastAsia" w:hAnsiTheme="minorEastAsia" w:eastAsiaTheme="minorEastAsia"/>
          <w:szCs w:val="21"/>
          <w:lang w:val="en-US" w:eastAsia="zh-CN"/>
        </w:rPr>
      </w:pP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 xml:space="preserve">通过分析比较和调查研究，选用符合实际的工艺方案，以期获得较大的社会效益、经济效益和环境效益。 </w:t>
      </w:r>
    </w:p>
    <w:p w14:paraId="558A040B">
      <w:pPr>
        <w:spacing w:line="360" w:lineRule="auto"/>
        <w:ind w:firstLine="420" w:firstLineChars="200"/>
        <w:rPr>
          <w:rFonts w:hint="eastAsia" w:cs="宋体" w:asciiTheme="minorEastAsia" w:hAnsiTheme="minorEastAsia" w:eastAsiaTheme="minorEastAsia"/>
          <w:szCs w:val="21"/>
          <w:lang w:val="en-US" w:eastAsia="zh-CN"/>
        </w:rPr>
      </w:pP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 xml:space="preserve">采用先进可靠的废气治理工艺，选用安全可靠的废气处理系统和工程材料，确保废气治理工艺和装置的技术上的先进性、经济上的合理性和操作上的可靠性。 </w:t>
      </w:r>
    </w:p>
    <w:p w14:paraId="381F7EB2">
      <w:pPr>
        <w:spacing w:line="360" w:lineRule="auto"/>
        <w:ind w:firstLine="420" w:firstLineChars="200"/>
        <w:rPr>
          <w:rFonts w:hint="eastAsia" w:cs="宋体" w:asciiTheme="minorEastAsia" w:hAnsiTheme="minorEastAsia" w:eastAsiaTheme="minorEastAsia"/>
          <w:szCs w:val="21"/>
          <w:lang w:val="en-US" w:eastAsia="zh-CN"/>
        </w:rPr>
      </w:pP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结合本项目的特点，按照不同浓度的废气的不同情况和治理需求，采用与之相应的废气治理工艺技术，在确保实现治理目标的同时，以降低废气治理系统综合运行费用和节约能耗，满足国家对环境保护的总体要求。</w:t>
      </w:r>
    </w:p>
    <w:p w14:paraId="31CE3FA1">
      <w:pPr>
        <w:spacing w:line="360" w:lineRule="auto"/>
        <w:rPr>
          <w:rFonts w:hint="default" w:cs="宋体" w:asciiTheme="minorEastAsia" w:hAnsiTheme="minorEastAsia" w:eastAsiaTheme="minorEastAsia"/>
          <w:szCs w:val="21"/>
          <w:lang w:val="en-US" w:eastAsia="zh-CN"/>
        </w:rPr>
      </w:pP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2.2.1满足《固定源挥发性有机物综合排放标准第1部分:涂料、油墨及胶粘剂工业》（DB34/4812.1-2024）标准。</w:t>
      </w:r>
    </w:p>
    <w:p w14:paraId="4BD0FF67">
      <w:pPr>
        <w:spacing w:line="360" w:lineRule="auto"/>
        <w:rPr>
          <w:rFonts w:hint="eastAsia" w:cs="宋体" w:asciiTheme="minorEastAsia" w:hAnsiTheme="minorEastAsia" w:eastAsiaTheme="minorEastAsia"/>
          <w:szCs w:val="21"/>
          <w:lang w:val="en-US" w:eastAsia="zh-CN"/>
        </w:rPr>
      </w:pP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2.2.2车间或生产设施排气中NMHC初始排放速率大于等于2kg/h时，NMHC去除效率应不低于80%;若同一车间或生产设施有多个排气筒排放 VOCs 时，应合并计算。</w:t>
      </w:r>
    </w:p>
    <w:p w14:paraId="1832EB79">
      <w:pPr>
        <w:spacing w:line="360" w:lineRule="auto"/>
        <w:rPr>
          <w:rFonts w:hint="eastAsia" w:cs="宋体" w:asciiTheme="minorEastAsia" w:hAnsiTheme="minorEastAsia" w:eastAsiaTheme="minorEastAsia"/>
          <w:szCs w:val="21"/>
          <w:lang w:val="en-US" w:eastAsia="zh-CN"/>
        </w:rPr>
      </w:pPr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2.2.3挥发性有机物基本污染物项目排放限值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96"/>
        <w:gridCol w:w="1436"/>
        <w:gridCol w:w="2250"/>
        <w:gridCol w:w="2172"/>
        <w:gridCol w:w="2778"/>
      </w:tblGrid>
      <w:tr w14:paraId="0AFC9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96" w:type="dxa"/>
          </w:tcPr>
          <w:p w14:paraId="1032203C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436" w:type="dxa"/>
          </w:tcPr>
          <w:p w14:paraId="3693A63D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污染物项目</w:t>
            </w:r>
          </w:p>
        </w:tc>
        <w:tc>
          <w:tcPr>
            <w:tcW w:w="2250" w:type="dxa"/>
          </w:tcPr>
          <w:p w14:paraId="63C8FEC3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最高允许排放浓度mg/m³</w:t>
            </w:r>
          </w:p>
        </w:tc>
        <w:tc>
          <w:tcPr>
            <w:tcW w:w="2172" w:type="dxa"/>
          </w:tcPr>
          <w:p w14:paraId="45693ABE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最高允许排放速率a kg/h</w:t>
            </w:r>
          </w:p>
        </w:tc>
        <w:tc>
          <w:tcPr>
            <w:tcW w:w="2778" w:type="dxa"/>
          </w:tcPr>
          <w:p w14:paraId="3B8BE423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污染物排放监控位置</w:t>
            </w:r>
          </w:p>
        </w:tc>
      </w:tr>
      <w:tr w14:paraId="49BF3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96" w:type="dxa"/>
          </w:tcPr>
          <w:p w14:paraId="6CD15E63">
            <w:pPr>
              <w:spacing w:line="360" w:lineRule="auto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36" w:type="dxa"/>
          </w:tcPr>
          <w:p w14:paraId="0B7A92ED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NMHC</w:t>
            </w:r>
          </w:p>
        </w:tc>
        <w:tc>
          <w:tcPr>
            <w:tcW w:w="2250" w:type="dxa"/>
          </w:tcPr>
          <w:p w14:paraId="5BFCE359">
            <w:pPr>
              <w:spacing w:line="360" w:lineRule="auto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2172" w:type="dxa"/>
          </w:tcPr>
          <w:p w14:paraId="46805572">
            <w:pPr>
              <w:spacing w:line="360" w:lineRule="auto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1.5</w:t>
            </w:r>
          </w:p>
        </w:tc>
        <w:tc>
          <w:tcPr>
            <w:tcW w:w="2778" w:type="dxa"/>
            <w:vMerge w:val="restart"/>
          </w:tcPr>
          <w:p w14:paraId="4FE34693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车间或生产设施</w:t>
            </w:r>
          </w:p>
          <w:p w14:paraId="497B6406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的排气简</w:t>
            </w:r>
          </w:p>
        </w:tc>
      </w:tr>
      <w:tr w14:paraId="77FF3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96" w:type="dxa"/>
          </w:tcPr>
          <w:p w14:paraId="65430AC0">
            <w:pPr>
              <w:spacing w:line="360" w:lineRule="auto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36" w:type="dxa"/>
          </w:tcPr>
          <w:p w14:paraId="0C72848C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苯系物</w:t>
            </w:r>
            <w:r>
              <w:rPr>
                <w:rFonts w:hint="eastAsia" w:cs="宋体" w:asciiTheme="minorEastAsia" w:hAnsiTheme="minorEastAsia" w:eastAsiaTheme="minorEastAsia"/>
                <w:szCs w:val="21"/>
                <w:vertAlign w:val="superscript"/>
                <w:lang w:val="en-US" w:eastAsia="zh-CN"/>
              </w:rPr>
              <w:t>b</w:t>
            </w:r>
          </w:p>
        </w:tc>
        <w:tc>
          <w:tcPr>
            <w:tcW w:w="2250" w:type="dxa"/>
          </w:tcPr>
          <w:p w14:paraId="15F89CEE">
            <w:pPr>
              <w:spacing w:line="360" w:lineRule="auto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172" w:type="dxa"/>
          </w:tcPr>
          <w:p w14:paraId="73B4E1A6">
            <w:pPr>
              <w:spacing w:line="360" w:lineRule="auto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0.5</w:t>
            </w:r>
          </w:p>
        </w:tc>
        <w:tc>
          <w:tcPr>
            <w:tcW w:w="2778" w:type="dxa"/>
            <w:vMerge w:val="continue"/>
            <w:tcBorders/>
          </w:tcPr>
          <w:p w14:paraId="61B0E836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</w:p>
        </w:tc>
      </w:tr>
      <w:tr w14:paraId="278DF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632" w:type="dxa"/>
            <w:gridSpan w:val="5"/>
            <w:tcBorders/>
          </w:tcPr>
          <w:p w14:paraId="0EEBA7D2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superscript"/>
                <w:lang w:val="en-US" w:eastAsia="zh-CN"/>
              </w:rPr>
              <w:t>a</w:t>
            </w: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污染治理设施的去除效率</w:t>
            </w:r>
            <w:r>
              <w:rPr>
                <w:rFonts w:hint="default" w:ascii="Arial" w:hAnsi="Arial" w:cs="Arial" w:eastAsiaTheme="minorEastAsia"/>
                <w:szCs w:val="21"/>
                <w:vertAlign w:val="baseline"/>
                <w:lang w:val="en-US" w:eastAsia="zh-CN"/>
              </w:rPr>
              <w:t>≥</w:t>
            </w: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90%视同最高允许排放速率达标，最高允许排放速率以等效排气筒排放速率计。</w:t>
            </w:r>
          </w:p>
          <w:p w14:paraId="230EAC58">
            <w:pPr>
              <w:spacing w:line="360" w:lineRule="auto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superscript"/>
                <w:lang w:val="en-US" w:eastAsia="zh-CN"/>
              </w:rPr>
              <w:t>b</w:t>
            </w: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包括苯、甲苯、二甲苯、三甲苯、乙苯和苯乙烯，其中三甲苯待国家或安徽省污染物监测方法标准发布后实施.</w:t>
            </w:r>
          </w:p>
        </w:tc>
      </w:tr>
    </w:tbl>
    <w:p w14:paraId="1E105BE3">
      <w:pPr>
        <w:spacing w:line="360" w:lineRule="auto"/>
        <w:rPr>
          <w:rFonts w:hint="eastAsia" w:cs="宋体" w:asciiTheme="minorEastAsia" w:hAnsiTheme="minorEastAsia" w:eastAsiaTheme="minorEastAsia"/>
          <w:szCs w:val="21"/>
          <w:lang w:val="en-US" w:eastAsia="zh-CN"/>
        </w:rPr>
      </w:pPr>
      <w:bookmarkStart w:id="2" w:name="_GoBack"/>
      <w:bookmarkEnd w:id="2"/>
      <w:r>
        <w:rPr>
          <w:rFonts w:hint="eastAsia" w:cs="宋体" w:asciiTheme="minorEastAsia" w:hAnsiTheme="minorEastAsia" w:eastAsiaTheme="minorEastAsia"/>
          <w:szCs w:val="21"/>
          <w:lang w:val="en-US" w:eastAsia="zh-CN"/>
        </w:rPr>
        <w:t>2.2.4挥发性有机物特征污染物项目排放限值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1436"/>
        <w:gridCol w:w="2748"/>
        <w:gridCol w:w="2802"/>
      </w:tblGrid>
      <w:tr w14:paraId="0073D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" w:type="dxa"/>
          </w:tcPr>
          <w:p w14:paraId="50EB1A01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1436" w:type="dxa"/>
          </w:tcPr>
          <w:p w14:paraId="447A652A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污染物项目</w:t>
            </w:r>
          </w:p>
        </w:tc>
        <w:tc>
          <w:tcPr>
            <w:tcW w:w="2748" w:type="dxa"/>
          </w:tcPr>
          <w:p w14:paraId="69D590CB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最高允许排放浓度mg/m³</w:t>
            </w:r>
          </w:p>
        </w:tc>
        <w:tc>
          <w:tcPr>
            <w:tcW w:w="2802" w:type="dxa"/>
          </w:tcPr>
          <w:p w14:paraId="00AA3103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污染物排放监控位置</w:t>
            </w:r>
          </w:p>
        </w:tc>
      </w:tr>
      <w:tr w14:paraId="422F4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96" w:type="dxa"/>
          </w:tcPr>
          <w:p w14:paraId="616AE4BB">
            <w:pPr>
              <w:spacing w:line="360" w:lineRule="auto"/>
              <w:jc w:val="center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436" w:type="dxa"/>
          </w:tcPr>
          <w:p w14:paraId="1BF04521">
            <w:pPr>
              <w:spacing w:line="360" w:lineRule="auto"/>
              <w:jc w:val="center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苯</w:t>
            </w:r>
          </w:p>
        </w:tc>
        <w:tc>
          <w:tcPr>
            <w:tcW w:w="2748" w:type="dxa"/>
          </w:tcPr>
          <w:p w14:paraId="2719EC0B">
            <w:pPr>
              <w:spacing w:line="360" w:lineRule="auto"/>
              <w:jc w:val="center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802" w:type="dxa"/>
            <w:vMerge w:val="restart"/>
          </w:tcPr>
          <w:p w14:paraId="65A0FEB5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车间或生产设施的排气简</w:t>
            </w:r>
          </w:p>
        </w:tc>
      </w:tr>
      <w:tr w14:paraId="0CB54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" w:type="dxa"/>
          </w:tcPr>
          <w:p w14:paraId="5204BFDB">
            <w:pPr>
              <w:spacing w:line="360" w:lineRule="auto"/>
              <w:jc w:val="center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436" w:type="dxa"/>
          </w:tcPr>
          <w:p w14:paraId="14CF1420">
            <w:pPr>
              <w:spacing w:line="360" w:lineRule="auto"/>
              <w:jc w:val="center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甲苯</w:t>
            </w:r>
          </w:p>
        </w:tc>
        <w:tc>
          <w:tcPr>
            <w:tcW w:w="2748" w:type="dxa"/>
          </w:tcPr>
          <w:p w14:paraId="0F4E5E69">
            <w:pPr>
              <w:spacing w:line="360" w:lineRule="auto"/>
              <w:jc w:val="center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802" w:type="dxa"/>
            <w:vMerge w:val="continue"/>
            <w:tcBorders/>
          </w:tcPr>
          <w:p w14:paraId="1272DC7A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</w:p>
        </w:tc>
      </w:tr>
      <w:tr w14:paraId="70D28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" w:type="dxa"/>
          </w:tcPr>
          <w:p w14:paraId="15CA6F14">
            <w:pPr>
              <w:spacing w:line="360" w:lineRule="auto"/>
              <w:jc w:val="center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436" w:type="dxa"/>
          </w:tcPr>
          <w:p w14:paraId="32D1AE98">
            <w:pPr>
              <w:spacing w:line="360" w:lineRule="auto"/>
              <w:jc w:val="center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二甲苯</w:t>
            </w:r>
          </w:p>
        </w:tc>
        <w:tc>
          <w:tcPr>
            <w:tcW w:w="2748" w:type="dxa"/>
          </w:tcPr>
          <w:p w14:paraId="6CF438E9">
            <w:pPr>
              <w:spacing w:line="360" w:lineRule="auto"/>
              <w:jc w:val="center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802" w:type="dxa"/>
            <w:vMerge w:val="continue"/>
            <w:tcBorders/>
          </w:tcPr>
          <w:p w14:paraId="54483747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</w:p>
        </w:tc>
      </w:tr>
      <w:tr w14:paraId="01194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" w:type="dxa"/>
          </w:tcPr>
          <w:p w14:paraId="7360914A">
            <w:pPr>
              <w:spacing w:line="360" w:lineRule="auto"/>
              <w:jc w:val="center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436" w:type="dxa"/>
          </w:tcPr>
          <w:p w14:paraId="19018F73">
            <w:pPr>
              <w:spacing w:line="360" w:lineRule="auto"/>
              <w:jc w:val="center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乙酸酯类</w:t>
            </w:r>
            <w:r>
              <w:rPr>
                <w:rFonts w:hint="eastAsia" w:cs="宋体" w:asciiTheme="minorEastAsia" w:hAnsiTheme="minorEastAsia" w:eastAsiaTheme="minorEastAsia"/>
                <w:szCs w:val="21"/>
                <w:vertAlign w:val="superscript"/>
                <w:lang w:val="en-US" w:eastAsia="zh-CN"/>
              </w:rPr>
              <w:t>a</w:t>
            </w:r>
          </w:p>
        </w:tc>
        <w:tc>
          <w:tcPr>
            <w:tcW w:w="2748" w:type="dxa"/>
          </w:tcPr>
          <w:p w14:paraId="55B7DE14">
            <w:pPr>
              <w:spacing w:line="360" w:lineRule="auto"/>
              <w:jc w:val="center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2802" w:type="dxa"/>
            <w:vMerge w:val="continue"/>
            <w:tcBorders/>
          </w:tcPr>
          <w:p w14:paraId="45E9015A">
            <w:pPr>
              <w:spacing w:line="360" w:lineRule="auto"/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</w:p>
        </w:tc>
      </w:tr>
      <w:tr w14:paraId="16189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2" w:type="dxa"/>
            <w:gridSpan w:val="4"/>
            <w:tcBorders/>
          </w:tcPr>
          <w:p w14:paraId="76D01952">
            <w:pPr>
              <w:spacing w:line="360" w:lineRule="auto"/>
              <w:rPr>
                <w:rFonts w:hint="default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  <w:vertAlign w:val="superscript"/>
                <w:lang w:val="en-US" w:eastAsia="zh-CN"/>
              </w:rPr>
              <w:t>a</w:t>
            </w:r>
            <w:r>
              <w:rPr>
                <w:rFonts w:hint="eastAsia" w:cs="宋体" w:asciiTheme="minorEastAsia" w:hAnsiTheme="minorEastAsia" w:eastAsiaTheme="minorEastAsia"/>
                <w:szCs w:val="21"/>
                <w:vertAlign w:val="baseline"/>
                <w:lang w:val="en-US" w:eastAsia="zh-CN"/>
              </w:rPr>
              <w:t>乙酸酯类是乙酸乙酯和乙酸丁酯的合计。</w:t>
            </w:r>
          </w:p>
        </w:tc>
      </w:tr>
    </w:tbl>
    <w:p w14:paraId="7C41B9C3">
      <w:pPr>
        <w:spacing w:line="360" w:lineRule="auto"/>
        <w:jc w:val="center"/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第二章：招标投标须知</w:t>
      </w:r>
    </w:p>
    <w:p w14:paraId="4A43C1BB">
      <w:pPr>
        <w:spacing w:line="360" w:lineRule="auto"/>
        <w:rPr>
          <w:rFonts w:hint="default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b/>
          <w:szCs w:val="21"/>
        </w:rPr>
        <w:t>1、价格填写要求：</w:t>
      </w:r>
      <w:r>
        <w:rPr>
          <w:rFonts w:hint="eastAsia" w:asciiTheme="minorEastAsia" w:hAnsiTheme="minorEastAsia" w:eastAsiaTheme="minorEastAsia"/>
          <w:szCs w:val="21"/>
        </w:rPr>
        <w:t>投标人必须按照我司提供的招标标书格式进行报价，所列清单项无论价格是否填写，默认总价均已包含，不填价格项目默认按照赠送进行处理，合同确定后不得以报价未报另外增加价格</w:t>
      </w:r>
      <w:r>
        <w:rPr>
          <w:rFonts w:hint="eastAsia" w:asciiTheme="minorEastAsia" w:hAnsiTheme="minorEastAsia" w:eastAsiaTheme="minorEastAsia"/>
          <w:szCs w:val="21"/>
          <w:lang w:eastAsia="zh-CN"/>
        </w:rPr>
        <w:t>。</w:t>
      </w:r>
      <w:r>
        <w:rPr>
          <w:rFonts w:hint="eastAsia" w:asciiTheme="minorEastAsia" w:hAnsiTheme="minorEastAsia" w:eastAsiaTheme="minorEastAsia"/>
          <w:color w:val="FF0000"/>
          <w:szCs w:val="21"/>
          <w:lang w:val="en-US" w:eastAsia="zh-CN"/>
        </w:rPr>
        <w:t>该报价为最终价格，不在进行议价。</w:t>
      </w:r>
    </w:p>
    <w:p w14:paraId="1EA60ADE">
      <w:pPr>
        <w:spacing w:line="360" w:lineRule="auto"/>
        <w:rPr>
          <w:rFonts w:hint="eastAsia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b/>
          <w:szCs w:val="21"/>
          <w:lang w:val="en-US" w:eastAsia="zh-CN"/>
        </w:rPr>
        <w:t>2</w:t>
      </w:r>
      <w:r>
        <w:rPr>
          <w:rFonts w:hint="eastAsia" w:asciiTheme="minorEastAsia" w:hAnsiTheme="minorEastAsia" w:eastAsiaTheme="minorEastAsia"/>
          <w:b/>
          <w:szCs w:val="21"/>
        </w:rPr>
        <w:t>、投标方式：</w:t>
      </w:r>
      <w:r>
        <w:rPr>
          <w:rFonts w:hint="eastAsia" w:asciiTheme="minorEastAsia" w:hAnsiTheme="minorEastAsia" w:eastAsiaTheme="minorEastAsia"/>
          <w:b w:val="0"/>
          <w:bCs/>
          <w:szCs w:val="21"/>
          <w:lang w:val="en-US" w:eastAsia="zh-CN"/>
        </w:rPr>
        <w:t>将第三部分投标报价书</w:t>
      </w:r>
      <w:r>
        <w:rPr>
          <w:rFonts w:hint="eastAsia" w:asciiTheme="minorEastAsia" w:hAnsiTheme="minorEastAsia" w:eastAsiaTheme="minorEastAsia"/>
          <w:szCs w:val="21"/>
        </w:rPr>
        <w:t>以PDF文件格式加盖公章及骑缝章发送到邮箱：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>sec@gaoco.cn</w:t>
      </w:r>
      <w:r>
        <w:rPr>
          <w:rFonts w:hint="eastAsia" w:asciiTheme="minorEastAsia" w:hAnsiTheme="minorEastAsia" w:eastAsiaTheme="minorEastAsia"/>
          <w:szCs w:val="21"/>
          <w:lang w:eastAsia="zh-CN"/>
        </w:rPr>
        <w:t>。</w:t>
      </w:r>
    </w:p>
    <w:p w14:paraId="3931F129">
      <w:pPr>
        <w:spacing w:line="360" w:lineRule="auto"/>
        <w:rPr>
          <w:rFonts w:hint="eastAsia" w:asciiTheme="minorEastAsia" w:hAnsiTheme="minorEastAsia" w:eastAsiaTheme="minorEastAsia"/>
          <w:kern w:val="0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b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/>
          <w:b/>
          <w:szCs w:val="21"/>
        </w:rPr>
        <w:t>、</w:t>
      </w:r>
      <w:r>
        <w:rPr>
          <w:rFonts w:hint="eastAsia" w:asciiTheme="minorEastAsia" w:hAnsiTheme="minorEastAsia" w:eastAsiaTheme="minorEastAsia"/>
          <w:b/>
          <w:kern w:val="0"/>
          <w:szCs w:val="21"/>
        </w:rPr>
        <w:t>招标截止时间：</w:t>
      </w:r>
      <w:r>
        <w:rPr>
          <w:rFonts w:asciiTheme="minorEastAsia" w:hAnsiTheme="minorEastAsia" w:eastAsiaTheme="minorEastAsia"/>
          <w:kern w:val="0"/>
          <w:szCs w:val="21"/>
        </w:rPr>
        <w:t>202</w:t>
      </w:r>
      <w:r>
        <w:rPr>
          <w:rFonts w:hint="eastAsia" w:asciiTheme="minorEastAsia" w:hAnsiTheme="minorEastAsia" w:eastAsiaTheme="minorEastAsia"/>
          <w:kern w:val="0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/>
          <w:kern w:val="0"/>
          <w:szCs w:val="21"/>
        </w:rPr>
        <w:t>年</w:t>
      </w:r>
      <w:r>
        <w:rPr>
          <w:rFonts w:hint="eastAsia" w:asciiTheme="minorEastAsia" w:hAnsiTheme="minorEastAsia" w:eastAsiaTheme="minorEastAsia"/>
          <w:kern w:val="0"/>
          <w:szCs w:val="21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kern w:val="0"/>
          <w:szCs w:val="21"/>
        </w:rPr>
        <w:t>月</w:t>
      </w:r>
      <w:r>
        <w:rPr>
          <w:rFonts w:hint="eastAsia" w:asciiTheme="minorEastAsia" w:hAnsiTheme="minorEastAsia" w:eastAsiaTheme="minorEastAsia"/>
          <w:kern w:val="0"/>
          <w:szCs w:val="21"/>
          <w:lang w:val="en-US" w:eastAsia="zh-CN"/>
        </w:rPr>
        <w:t>10</w:t>
      </w:r>
      <w:r>
        <w:rPr>
          <w:rFonts w:hint="eastAsia" w:asciiTheme="minorEastAsia" w:hAnsiTheme="minorEastAsia" w:eastAsiaTheme="minorEastAsia"/>
          <w:kern w:val="0"/>
          <w:szCs w:val="21"/>
        </w:rPr>
        <w:t>日中午1</w:t>
      </w:r>
      <w:r>
        <w:rPr>
          <w:rFonts w:hint="eastAsia" w:asciiTheme="minorEastAsia" w:hAnsiTheme="minorEastAsia" w:eastAsiaTheme="minorEastAsia"/>
          <w:kern w:val="0"/>
          <w:szCs w:val="21"/>
          <w:lang w:val="en-US" w:eastAsia="zh-CN"/>
        </w:rPr>
        <w:t>2</w:t>
      </w:r>
      <w:r>
        <w:rPr>
          <w:rFonts w:hint="eastAsia" w:asciiTheme="minorEastAsia" w:hAnsiTheme="minorEastAsia" w:eastAsiaTheme="minorEastAsia"/>
          <w:kern w:val="0"/>
          <w:szCs w:val="21"/>
        </w:rPr>
        <w:t>：</w:t>
      </w:r>
      <w:r>
        <w:rPr>
          <w:rFonts w:asciiTheme="minorEastAsia" w:hAnsiTheme="minorEastAsia" w:eastAsiaTheme="minorEastAsia"/>
          <w:kern w:val="0"/>
          <w:szCs w:val="21"/>
        </w:rPr>
        <w:t>00</w:t>
      </w:r>
      <w:r>
        <w:rPr>
          <w:rFonts w:hint="eastAsia" w:asciiTheme="minorEastAsia" w:hAnsiTheme="minorEastAsia" w:eastAsiaTheme="minorEastAsia"/>
          <w:kern w:val="0"/>
          <w:szCs w:val="21"/>
          <w:lang w:eastAsia="zh-CN"/>
        </w:rPr>
        <w:t>（</w:t>
      </w:r>
      <w:r>
        <w:rPr>
          <w:rFonts w:asciiTheme="minorEastAsia" w:hAnsiTheme="minorEastAsia" w:eastAsiaTheme="minorEastAsia"/>
          <w:kern w:val="0"/>
          <w:szCs w:val="21"/>
        </w:rPr>
        <w:t>202</w:t>
      </w:r>
      <w:r>
        <w:rPr>
          <w:rFonts w:hint="eastAsia" w:asciiTheme="minorEastAsia" w:hAnsiTheme="minorEastAsia" w:eastAsiaTheme="minorEastAsia"/>
          <w:kern w:val="0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/>
          <w:kern w:val="0"/>
          <w:szCs w:val="21"/>
        </w:rPr>
        <w:t>年</w:t>
      </w:r>
      <w:r>
        <w:rPr>
          <w:rFonts w:hint="eastAsia" w:asciiTheme="minorEastAsia" w:hAnsiTheme="minorEastAsia" w:eastAsiaTheme="minorEastAsia"/>
          <w:kern w:val="0"/>
          <w:szCs w:val="21"/>
          <w:lang w:val="en-US" w:eastAsia="zh-CN"/>
        </w:rPr>
        <w:t>9</w:t>
      </w:r>
      <w:r>
        <w:rPr>
          <w:rFonts w:hint="eastAsia" w:asciiTheme="minorEastAsia" w:hAnsiTheme="minorEastAsia" w:eastAsiaTheme="minorEastAsia"/>
          <w:kern w:val="0"/>
          <w:szCs w:val="21"/>
        </w:rPr>
        <w:t>月</w:t>
      </w:r>
      <w:r>
        <w:rPr>
          <w:rFonts w:hint="eastAsia" w:asciiTheme="minorEastAsia" w:hAnsiTheme="minorEastAsia" w:eastAsiaTheme="minorEastAsia"/>
          <w:kern w:val="0"/>
          <w:szCs w:val="21"/>
          <w:lang w:val="en-US" w:eastAsia="zh-CN"/>
        </w:rPr>
        <w:t>30</w:t>
      </w:r>
      <w:r>
        <w:rPr>
          <w:rFonts w:hint="eastAsia" w:asciiTheme="minorEastAsia" w:hAnsiTheme="minorEastAsia" w:eastAsiaTheme="minorEastAsia"/>
          <w:kern w:val="0"/>
          <w:szCs w:val="21"/>
        </w:rPr>
        <w:t>日</w:t>
      </w:r>
      <w:r>
        <w:rPr>
          <w:rFonts w:hint="eastAsia" w:asciiTheme="minorEastAsia" w:hAnsiTheme="minorEastAsia" w:eastAsiaTheme="minorEastAsia"/>
          <w:kern w:val="0"/>
          <w:szCs w:val="21"/>
          <w:lang w:val="en-US" w:eastAsia="zh-CN"/>
        </w:rPr>
        <w:t>前技术交流，联系方式：15256557233</w:t>
      </w:r>
      <w:r>
        <w:rPr>
          <w:rFonts w:hint="eastAsia" w:asciiTheme="minorEastAsia" w:hAnsiTheme="minorEastAsia" w:eastAsiaTheme="minorEastAsia"/>
          <w:kern w:val="0"/>
          <w:szCs w:val="21"/>
          <w:lang w:eastAsia="zh-CN"/>
        </w:rPr>
        <w:t>）。</w:t>
      </w:r>
    </w:p>
    <w:p w14:paraId="61DDF48A">
      <w:pPr>
        <w:pStyle w:val="18"/>
        <w:numPr>
          <w:ilvl w:val="0"/>
          <w:numId w:val="0"/>
        </w:numPr>
        <w:spacing w:line="360" w:lineRule="auto"/>
        <w:ind w:leftChars="0"/>
        <w:rPr>
          <w:rFonts w:hint="default" w:asciiTheme="minorEastAsia" w:hAnsiTheme="minorEastAsia" w:eastAsiaTheme="minorEastAsia"/>
          <w:szCs w:val="21"/>
          <w:lang w:val="en-US"/>
        </w:rPr>
      </w:pPr>
      <w:r>
        <w:rPr>
          <w:rFonts w:hint="eastAsia" w:asciiTheme="minorEastAsia" w:hAnsiTheme="minorEastAsia" w:eastAsiaTheme="minorEastAsia"/>
          <w:b/>
          <w:szCs w:val="21"/>
          <w:lang w:val="en-US" w:eastAsia="zh-CN"/>
        </w:rPr>
        <w:t>4、</w:t>
      </w:r>
      <w:r>
        <w:rPr>
          <w:rFonts w:hint="eastAsia" w:asciiTheme="minorEastAsia" w:hAnsiTheme="minorEastAsia" w:eastAsiaTheme="minorEastAsia"/>
          <w:b/>
          <w:szCs w:val="21"/>
        </w:rPr>
        <w:t>开标：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>开标时间由我司内部进行确定，我司将以邮件或电话的形式反馈给潜在供应商，然后由业务部门进行电话沟通或面谈，具体时间以业务部门通知为准。</w:t>
      </w:r>
    </w:p>
    <w:p w14:paraId="671F51CC">
      <w:pPr>
        <w:spacing w:line="360" w:lineRule="auto"/>
        <w:rPr>
          <w:rFonts w:asciiTheme="minorEastAsia" w:hAnsiTheme="minorEastAsia" w:eastAsiaTheme="minorEastAsia"/>
          <w:szCs w:val="21"/>
        </w:rPr>
      </w:pPr>
    </w:p>
    <w:p w14:paraId="3BCCF2A6">
      <w:pPr>
        <w:spacing w:line="360" w:lineRule="auto"/>
        <w:jc w:val="center"/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第三章：投标报价书</w:t>
      </w:r>
    </w:p>
    <w:p w14:paraId="1756461B">
      <w:pPr>
        <w:spacing w:line="360" w:lineRule="auto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1、报价单位：</w:t>
      </w:r>
      <w:r>
        <w:rPr>
          <w:rFonts w:hint="eastAsia" w:asciiTheme="minorEastAsia" w:hAnsiTheme="minorEastAsia" w:eastAsiaTheme="minorEastAsia"/>
          <w:color w:val="FF0000"/>
          <w:szCs w:val="21"/>
        </w:rPr>
        <w:t>请填写</w:t>
      </w:r>
    </w:p>
    <w:p w14:paraId="0CEE67D6">
      <w:pPr>
        <w:spacing w:line="360" w:lineRule="auto"/>
        <w:rPr>
          <w:rFonts w:hint="eastAsia" w:asciiTheme="minorEastAsia" w:hAnsiTheme="minorEastAsia" w:eastAsiaTheme="minorEastAsia"/>
          <w:color w:val="FF0000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2、</w:t>
      </w:r>
      <w:r>
        <w:rPr>
          <w:rFonts w:hint="eastAsia" w:asciiTheme="minorEastAsia" w:hAnsiTheme="minorEastAsia" w:eastAsiaTheme="minorEastAsia"/>
          <w:szCs w:val="21"/>
          <w:lang w:val="en-US" w:eastAsia="zh-CN"/>
        </w:rPr>
        <w:t>报价方案</w:t>
      </w:r>
      <w:r>
        <w:rPr>
          <w:rFonts w:hint="eastAsia" w:asciiTheme="minorEastAsia" w:hAnsiTheme="minorEastAsia" w:eastAsiaTheme="minorEastAsia"/>
          <w:szCs w:val="21"/>
        </w:rPr>
        <w:t>：</w:t>
      </w:r>
    </w:p>
    <w:p w14:paraId="6E501094">
      <w:pPr>
        <w:pStyle w:val="2"/>
        <w:spacing w:line="400" w:lineRule="exact"/>
        <w:outlineLvl w:val="0"/>
        <w:rPr>
          <w:rFonts w:asciiTheme="minorEastAsia" w:hAnsiTheme="minorEastAsia" w:eastAsiaTheme="minorEastAsia"/>
        </w:rPr>
      </w:pPr>
      <w:bookmarkStart w:id="0" w:name="_Toc274741147"/>
      <w:r>
        <w:rPr>
          <w:rFonts w:hint="eastAsia" w:asciiTheme="minorEastAsia" w:hAnsiTheme="minorEastAsia" w:eastAsiaTheme="minorEastAsia"/>
          <w:lang w:val="en-US" w:eastAsia="zh-CN"/>
        </w:rPr>
        <w:t>3</w:t>
      </w:r>
      <w:r>
        <w:rPr>
          <w:rFonts w:asciiTheme="minorEastAsia" w:hAnsiTheme="minorEastAsia" w:eastAsiaTheme="minorEastAsia"/>
        </w:rPr>
        <w:t>.</w:t>
      </w:r>
      <w:r>
        <w:rPr>
          <w:rFonts w:hint="eastAsia" w:asciiTheme="minorEastAsia" w:hAnsiTheme="minorEastAsia" w:eastAsiaTheme="minorEastAsia"/>
        </w:rPr>
        <w:t xml:space="preserve"> 如果报价方标书被接受，报价方需将履行招标文件规定的每一项要求，</w:t>
      </w:r>
      <w:bookmarkEnd w:id="0"/>
      <w:r>
        <w:rPr>
          <w:rFonts w:hint="eastAsia" w:asciiTheme="minorEastAsia" w:hAnsiTheme="minorEastAsia" w:eastAsiaTheme="minorEastAsia"/>
          <w:lang w:val="en-US" w:eastAsia="zh-CN"/>
        </w:rPr>
        <w:t>按要求完成运维服务</w:t>
      </w:r>
      <w:r>
        <w:rPr>
          <w:rFonts w:hint="eastAsia" w:asciiTheme="minorEastAsia" w:hAnsiTheme="minorEastAsia" w:eastAsiaTheme="minorEastAsia"/>
        </w:rPr>
        <w:t>。</w:t>
      </w:r>
    </w:p>
    <w:p w14:paraId="1621EC88">
      <w:pPr>
        <w:pStyle w:val="2"/>
        <w:spacing w:line="400" w:lineRule="exact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lang w:val="en-US" w:eastAsia="zh-CN"/>
        </w:rPr>
        <w:t>4</w:t>
      </w:r>
      <w:r>
        <w:rPr>
          <w:rFonts w:asciiTheme="minorEastAsia" w:hAnsiTheme="minorEastAsia" w:eastAsiaTheme="minorEastAsia"/>
        </w:rPr>
        <w:t xml:space="preserve">. </w:t>
      </w:r>
      <w:r>
        <w:rPr>
          <w:rFonts w:hint="eastAsia" w:asciiTheme="minorEastAsia" w:hAnsiTheme="minorEastAsia" w:eastAsiaTheme="minorEastAsia"/>
        </w:rPr>
        <w:t>报价方同意按照招标文件规定，提供招标者要求的所有资料。</w:t>
      </w:r>
    </w:p>
    <w:p w14:paraId="3627C910">
      <w:pPr>
        <w:pStyle w:val="2"/>
        <w:spacing w:line="400" w:lineRule="exact"/>
        <w:outlineLvl w:val="0"/>
        <w:rPr>
          <w:rFonts w:hint="eastAsia" w:asciiTheme="minorEastAsia" w:hAnsiTheme="minorEastAsia" w:eastAsiaTheme="minorEastAsia"/>
        </w:rPr>
      </w:pPr>
      <w:bookmarkStart w:id="1" w:name="_Toc274741148"/>
      <w:r>
        <w:rPr>
          <w:rFonts w:hint="eastAsia" w:asciiTheme="minorEastAsia" w:hAnsiTheme="minorEastAsia" w:eastAsiaTheme="minorEastAsia"/>
          <w:lang w:val="en-US" w:eastAsia="zh-CN"/>
        </w:rPr>
        <w:t>5</w:t>
      </w:r>
      <w:r>
        <w:rPr>
          <w:rFonts w:asciiTheme="minorEastAsia" w:hAnsiTheme="minorEastAsia" w:eastAsiaTheme="minorEastAsia"/>
        </w:rPr>
        <w:t xml:space="preserve">. </w:t>
      </w:r>
      <w:r>
        <w:rPr>
          <w:rFonts w:hint="eastAsia" w:asciiTheme="minorEastAsia" w:hAnsiTheme="minorEastAsia" w:eastAsiaTheme="minorEastAsia"/>
        </w:rPr>
        <w:t>报价方愿按《中华人民共和国合同法》和《反不正当竞争法》履行自己的全</w:t>
      </w:r>
      <w:bookmarkEnd w:id="1"/>
      <w:r>
        <w:rPr>
          <w:rFonts w:hint="eastAsia" w:asciiTheme="minorEastAsia" w:hAnsiTheme="minorEastAsia" w:eastAsiaTheme="minorEastAsia"/>
        </w:rPr>
        <w:t>部责任，承认并遵守标书所有内容。</w:t>
      </w:r>
    </w:p>
    <w:p w14:paraId="6B7A9E57">
      <w:pPr>
        <w:pStyle w:val="2"/>
        <w:spacing w:line="400" w:lineRule="exact"/>
        <w:outlineLvl w:val="0"/>
        <w:rPr>
          <w:rFonts w:hint="default" w:asciiTheme="minorEastAsia" w:hAnsiTheme="minorEastAsia" w:eastAsiaTheme="minorEastAsia"/>
          <w:lang w:val="en-US" w:eastAsia="zh-CN"/>
        </w:rPr>
      </w:pPr>
      <w:r>
        <w:rPr>
          <w:rFonts w:hint="eastAsia" w:asciiTheme="minorEastAsia" w:hAnsiTheme="minorEastAsia" w:eastAsiaTheme="minorEastAsia"/>
          <w:lang w:val="en-US" w:eastAsia="zh-CN"/>
        </w:rPr>
        <w:t>6.投标时附上公司营业执照、公司简介和客户业绩表。</w:t>
      </w:r>
    </w:p>
    <w:p w14:paraId="3C77B5D6">
      <w:pPr>
        <w:spacing w:line="360" w:lineRule="auto"/>
        <w:rPr>
          <w:rFonts w:hint="eastAsia"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报价单位（签章）：</w:t>
      </w:r>
    </w:p>
    <w:p w14:paraId="04D2F798">
      <w:pPr>
        <w:spacing w:line="360" w:lineRule="auto"/>
        <w:rPr>
          <w:rFonts w:hint="eastAsia" w:asciiTheme="minorEastAsia" w:hAnsiTheme="minorEastAsia" w:eastAsiaTheme="minorEastAsia"/>
          <w:color w:val="FF0000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color w:val="FF0000"/>
          <w:szCs w:val="21"/>
          <w:lang w:val="en-US" w:eastAsia="zh-CN"/>
        </w:rPr>
        <w:t>报价联系人及联系电话：</w:t>
      </w:r>
    </w:p>
    <w:p w14:paraId="3D7A1AD4">
      <w:pPr>
        <w:spacing w:line="360" w:lineRule="auto"/>
        <w:rPr>
          <w:rFonts w:hint="default" w:asciiTheme="minorEastAsia" w:hAnsiTheme="minorEastAsia" w:eastAsiaTheme="minorEastAsia"/>
          <w:color w:val="FF0000"/>
          <w:szCs w:val="21"/>
          <w:lang w:val="en-US" w:eastAsia="zh-CN"/>
        </w:rPr>
      </w:pPr>
      <w:r>
        <w:rPr>
          <w:rFonts w:hint="eastAsia" w:asciiTheme="minorEastAsia" w:hAnsiTheme="minorEastAsia" w:eastAsiaTheme="minorEastAsia"/>
          <w:color w:val="FF0000"/>
          <w:szCs w:val="21"/>
          <w:lang w:val="en-US" w:eastAsia="zh-CN"/>
        </w:rPr>
        <w:t>联系人邮箱：</w:t>
      </w:r>
    </w:p>
    <w:p w14:paraId="5128980F">
      <w:pPr>
        <w:spacing w:line="360" w:lineRule="auto"/>
        <w:rPr>
          <w:rFonts w:hint="eastAsia" w:asciiTheme="minorEastAsia" w:hAnsiTheme="minorEastAsia" w:eastAsiaTheme="minorEastAsia"/>
          <w:szCs w:val="21"/>
          <w:lang w:eastAsia="zh-CN"/>
        </w:rPr>
      </w:pPr>
      <w:r>
        <w:rPr>
          <w:rFonts w:hint="eastAsia" w:asciiTheme="minorEastAsia" w:hAnsiTheme="minorEastAsia" w:eastAsiaTheme="minorEastAsia"/>
          <w:szCs w:val="21"/>
        </w:rPr>
        <w:t>日期</w:t>
      </w:r>
      <w:r>
        <w:rPr>
          <w:rFonts w:hint="eastAsia" w:asciiTheme="minorEastAsia" w:hAnsiTheme="minorEastAsia" w:eastAsiaTheme="minorEastAsia"/>
          <w:szCs w:val="21"/>
          <w:lang w:eastAsia="zh-CN"/>
        </w:rPr>
        <w:t>：</w:t>
      </w:r>
    </w:p>
    <w:sectPr>
      <w:footerReference r:id="rId3" w:type="default"/>
      <w:pgSz w:w="11906" w:h="16838"/>
      <w:pgMar w:top="851" w:right="1077" w:bottom="851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03898022"/>
      <w:docPartObj>
        <w:docPartGallery w:val="autotext"/>
      </w:docPartObj>
    </w:sdtPr>
    <w:sdtContent>
      <w:p w14:paraId="0F8D453D">
        <w:pPr>
          <w:pStyle w:val="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458FBB0C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218FF6"/>
    <w:multiLevelType w:val="singleLevel"/>
    <w:tmpl w:val="B7218F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jYTJlMzFkOWJlNDBhYTU0ZjQxOTdjNDA4YjI5NzEifQ=="/>
  </w:docVars>
  <w:rsids>
    <w:rsidRoot w:val="00822398"/>
    <w:rsid w:val="000126B1"/>
    <w:rsid w:val="00016CBE"/>
    <w:rsid w:val="00020106"/>
    <w:rsid w:val="000242F6"/>
    <w:rsid w:val="000738E6"/>
    <w:rsid w:val="000A1A74"/>
    <w:rsid w:val="000A699E"/>
    <w:rsid w:val="000C5780"/>
    <w:rsid w:val="000F0820"/>
    <w:rsid w:val="00160CD7"/>
    <w:rsid w:val="0019486C"/>
    <w:rsid w:val="002248EB"/>
    <w:rsid w:val="00237DD9"/>
    <w:rsid w:val="002533BC"/>
    <w:rsid w:val="00254309"/>
    <w:rsid w:val="0027016D"/>
    <w:rsid w:val="0027605D"/>
    <w:rsid w:val="0028111B"/>
    <w:rsid w:val="00283095"/>
    <w:rsid w:val="002908FF"/>
    <w:rsid w:val="00292329"/>
    <w:rsid w:val="002A0D15"/>
    <w:rsid w:val="002A1C2D"/>
    <w:rsid w:val="002A6AED"/>
    <w:rsid w:val="002C3145"/>
    <w:rsid w:val="002F7BC0"/>
    <w:rsid w:val="0032489D"/>
    <w:rsid w:val="00324C43"/>
    <w:rsid w:val="0032622F"/>
    <w:rsid w:val="00361CF5"/>
    <w:rsid w:val="003870C9"/>
    <w:rsid w:val="00390D7F"/>
    <w:rsid w:val="00391F7C"/>
    <w:rsid w:val="00393DC2"/>
    <w:rsid w:val="003A05A8"/>
    <w:rsid w:val="003A2400"/>
    <w:rsid w:val="003A4197"/>
    <w:rsid w:val="003A576E"/>
    <w:rsid w:val="003B6C5E"/>
    <w:rsid w:val="003D1672"/>
    <w:rsid w:val="003F7CE1"/>
    <w:rsid w:val="0040033E"/>
    <w:rsid w:val="00400D6B"/>
    <w:rsid w:val="00407F63"/>
    <w:rsid w:val="00435A03"/>
    <w:rsid w:val="00440A47"/>
    <w:rsid w:val="00473CD5"/>
    <w:rsid w:val="004A3F7F"/>
    <w:rsid w:val="004A4829"/>
    <w:rsid w:val="004A5F0D"/>
    <w:rsid w:val="004C447B"/>
    <w:rsid w:val="004C5057"/>
    <w:rsid w:val="004F6643"/>
    <w:rsid w:val="00527C0E"/>
    <w:rsid w:val="00561608"/>
    <w:rsid w:val="00562F66"/>
    <w:rsid w:val="00565725"/>
    <w:rsid w:val="00567272"/>
    <w:rsid w:val="00572D9F"/>
    <w:rsid w:val="005734DD"/>
    <w:rsid w:val="00582491"/>
    <w:rsid w:val="00585BFD"/>
    <w:rsid w:val="005927E3"/>
    <w:rsid w:val="00596EEB"/>
    <w:rsid w:val="005A51C1"/>
    <w:rsid w:val="005B41D7"/>
    <w:rsid w:val="005C069C"/>
    <w:rsid w:val="005C0BB8"/>
    <w:rsid w:val="005D0FC7"/>
    <w:rsid w:val="005D11C6"/>
    <w:rsid w:val="005F3B7D"/>
    <w:rsid w:val="005F7D47"/>
    <w:rsid w:val="0062356A"/>
    <w:rsid w:val="006300FD"/>
    <w:rsid w:val="0064306C"/>
    <w:rsid w:val="006548AB"/>
    <w:rsid w:val="00663CE9"/>
    <w:rsid w:val="00681B27"/>
    <w:rsid w:val="006834C7"/>
    <w:rsid w:val="006A3BD1"/>
    <w:rsid w:val="006A65C0"/>
    <w:rsid w:val="006F21FC"/>
    <w:rsid w:val="0070535A"/>
    <w:rsid w:val="00732DD5"/>
    <w:rsid w:val="0074669D"/>
    <w:rsid w:val="007536D7"/>
    <w:rsid w:val="0077431A"/>
    <w:rsid w:val="00787893"/>
    <w:rsid w:val="007C5AB2"/>
    <w:rsid w:val="007D281C"/>
    <w:rsid w:val="007D4774"/>
    <w:rsid w:val="007D6A0D"/>
    <w:rsid w:val="007F101A"/>
    <w:rsid w:val="008162A4"/>
    <w:rsid w:val="00822398"/>
    <w:rsid w:val="00831B18"/>
    <w:rsid w:val="008978DE"/>
    <w:rsid w:val="008B633F"/>
    <w:rsid w:val="008E6849"/>
    <w:rsid w:val="008F39C0"/>
    <w:rsid w:val="008F699C"/>
    <w:rsid w:val="009130AB"/>
    <w:rsid w:val="00947736"/>
    <w:rsid w:val="0097026E"/>
    <w:rsid w:val="009A22F2"/>
    <w:rsid w:val="009D02BD"/>
    <w:rsid w:val="00A1493F"/>
    <w:rsid w:val="00A312A7"/>
    <w:rsid w:val="00A538D7"/>
    <w:rsid w:val="00A80FD3"/>
    <w:rsid w:val="00A81B3E"/>
    <w:rsid w:val="00AA2031"/>
    <w:rsid w:val="00AB1042"/>
    <w:rsid w:val="00AC7B3C"/>
    <w:rsid w:val="00AD3A1C"/>
    <w:rsid w:val="00B05681"/>
    <w:rsid w:val="00B12306"/>
    <w:rsid w:val="00B131EA"/>
    <w:rsid w:val="00B23A7D"/>
    <w:rsid w:val="00B31C7F"/>
    <w:rsid w:val="00B374E8"/>
    <w:rsid w:val="00B4002B"/>
    <w:rsid w:val="00B72FCB"/>
    <w:rsid w:val="00B778E1"/>
    <w:rsid w:val="00BC52D2"/>
    <w:rsid w:val="00BE0AD2"/>
    <w:rsid w:val="00BF3215"/>
    <w:rsid w:val="00BF73A7"/>
    <w:rsid w:val="00C13916"/>
    <w:rsid w:val="00C66E39"/>
    <w:rsid w:val="00C741BE"/>
    <w:rsid w:val="00C8005C"/>
    <w:rsid w:val="00C81B86"/>
    <w:rsid w:val="00CA342B"/>
    <w:rsid w:val="00CA564A"/>
    <w:rsid w:val="00CB1C1D"/>
    <w:rsid w:val="00CF635D"/>
    <w:rsid w:val="00D05D20"/>
    <w:rsid w:val="00D20AA4"/>
    <w:rsid w:val="00D30FD5"/>
    <w:rsid w:val="00D40929"/>
    <w:rsid w:val="00D46D1F"/>
    <w:rsid w:val="00D57080"/>
    <w:rsid w:val="00D6204B"/>
    <w:rsid w:val="00D72C06"/>
    <w:rsid w:val="00D937EB"/>
    <w:rsid w:val="00DB067E"/>
    <w:rsid w:val="00DC5888"/>
    <w:rsid w:val="00DE23E6"/>
    <w:rsid w:val="00E06DD0"/>
    <w:rsid w:val="00E06F78"/>
    <w:rsid w:val="00E10BF6"/>
    <w:rsid w:val="00E128AD"/>
    <w:rsid w:val="00E35D98"/>
    <w:rsid w:val="00E65095"/>
    <w:rsid w:val="00E7521D"/>
    <w:rsid w:val="00EA7BFC"/>
    <w:rsid w:val="00EF15C8"/>
    <w:rsid w:val="00EF6097"/>
    <w:rsid w:val="00F10E42"/>
    <w:rsid w:val="00F40BC5"/>
    <w:rsid w:val="00F954BB"/>
    <w:rsid w:val="00FA7C7A"/>
    <w:rsid w:val="00FC5EDA"/>
    <w:rsid w:val="00FD1DDE"/>
    <w:rsid w:val="00FD3EE5"/>
    <w:rsid w:val="00FE6EA7"/>
    <w:rsid w:val="00FF2118"/>
    <w:rsid w:val="00FF271A"/>
    <w:rsid w:val="01972E09"/>
    <w:rsid w:val="05A32302"/>
    <w:rsid w:val="05FE6D9B"/>
    <w:rsid w:val="07827853"/>
    <w:rsid w:val="08015112"/>
    <w:rsid w:val="09AE3606"/>
    <w:rsid w:val="0A1E52FD"/>
    <w:rsid w:val="0E4025FE"/>
    <w:rsid w:val="0F141223"/>
    <w:rsid w:val="0FD85AA4"/>
    <w:rsid w:val="11AE566D"/>
    <w:rsid w:val="12900868"/>
    <w:rsid w:val="132874BC"/>
    <w:rsid w:val="144875ED"/>
    <w:rsid w:val="145A2FE5"/>
    <w:rsid w:val="15610EC9"/>
    <w:rsid w:val="186449B5"/>
    <w:rsid w:val="190F3387"/>
    <w:rsid w:val="19A277FE"/>
    <w:rsid w:val="1E502150"/>
    <w:rsid w:val="2026670A"/>
    <w:rsid w:val="20BE4E7E"/>
    <w:rsid w:val="20F52971"/>
    <w:rsid w:val="212948DD"/>
    <w:rsid w:val="24FE1344"/>
    <w:rsid w:val="28C74BF7"/>
    <w:rsid w:val="2D1A2E47"/>
    <w:rsid w:val="2DF070AF"/>
    <w:rsid w:val="2E006C54"/>
    <w:rsid w:val="2FCA2595"/>
    <w:rsid w:val="373B2975"/>
    <w:rsid w:val="38B44532"/>
    <w:rsid w:val="3A0969AB"/>
    <w:rsid w:val="3A626E70"/>
    <w:rsid w:val="3ACE19D1"/>
    <w:rsid w:val="3FB54C84"/>
    <w:rsid w:val="42B95746"/>
    <w:rsid w:val="43C571C9"/>
    <w:rsid w:val="44E64E5B"/>
    <w:rsid w:val="451A79E6"/>
    <w:rsid w:val="4D035A74"/>
    <w:rsid w:val="50102754"/>
    <w:rsid w:val="519F015E"/>
    <w:rsid w:val="51DC2BA6"/>
    <w:rsid w:val="55640263"/>
    <w:rsid w:val="56345F53"/>
    <w:rsid w:val="599976F7"/>
    <w:rsid w:val="599C3D09"/>
    <w:rsid w:val="5B413F46"/>
    <w:rsid w:val="5BC763E6"/>
    <w:rsid w:val="5C0250C7"/>
    <w:rsid w:val="5C0E5F3C"/>
    <w:rsid w:val="5EEA61D6"/>
    <w:rsid w:val="63916254"/>
    <w:rsid w:val="63DA0A9F"/>
    <w:rsid w:val="64BA760D"/>
    <w:rsid w:val="6B013374"/>
    <w:rsid w:val="6BF40563"/>
    <w:rsid w:val="6C5D623A"/>
    <w:rsid w:val="6DB30807"/>
    <w:rsid w:val="6DF331E6"/>
    <w:rsid w:val="71147C72"/>
    <w:rsid w:val="71C2776B"/>
    <w:rsid w:val="71D46F9E"/>
    <w:rsid w:val="74C1299C"/>
    <w:rsid w:val="795B171D"/>
    <w:rsid w:val="7DFD0F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7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7">
    <w:name w:val="Table Grid"/>
    <w:basedOn w:val="6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apple-converted-space"/>
    <w:basedOn w:val="8"/>
    <w:qFormat/>
    <w:uiPriority w:val="0"/>
  </w:style>
  <w:style w:type="character" w:customStyle="1" w:styleId="13">
    <w:name w:val="mail_info_expanded_contact_address"/>
    <w:basedOn w:val="8"/>
    <w:qFormat/>
    <w:uiPriority w:val="0"/>
  </w:style>
  <w:style w:type="character" w:customStyle="1" w:styleId="14">
    <w:name w:val="mail_info_expanded_receiver"/>
    <w:basedOn w:val="8"/>
    <w:qFormat/>
    <w:uiPriority w:val="0"/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character" w:customStyle="1" w:styleId="16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纯文本 Char"/>
    <w:basedOn w:val="8"/>
    <w:link w:val="2"/>
    <w:qFormat/>
    <w:uiPriority w:val="0"/>
    <w:rPr>
      <w:rFonts w:ascii="宋体" w:hAnsi="Courier New" w:eastAsia="宋体" w:cs="Courier New"/>
      <w:szCs w:val="21"/>
    </w:rPr>
  </w:style>
  <w:style w:type="paragraph" w:styleId="18">
    <w:name w:val="List Paragraph"/>
    <w:basedOn w:val="1"/>
    <w:qFormat/>
    <w:uiPriority w:val="1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5D4FF-1D3D-49ED-ABD1-50E0ABB3D5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1052</Words>
  <Characters>1166</Characters>
  <Lines>16</Lines>
  <Paragraphs>4</Paragraphs>
  <TotalTime>17</TotalTime>
  <ScaleCrop>false</ScaleCrop>
  <LinksUpToDate>false</LinksUpToDate>
  <CharactersWithSpaces>1182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2019-07-23T05:47:00Z</dcterms:created>
  <dc:creator>微软用户</dc:creator>
  <cp:lastModifiedBy>WPS_1624960431</cp:lastModifiedBy>
  <cp:lastPrinted>2024-09-25T05:38:35Z</cp:lastPrinted>
  <dcterms:modified xsi:type="dcterms:W3CDTF">2024-09-25T05:57:50Z</dcterms:modified>
  <cp:revision>158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9B775343351E475AB87CA3F39F71BBB0_13</vt:lpwstr>
  </property>
</Properties>
</file>